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3301" w14:textId="77777777" w:rsidR="001306CA" w:rsidRDefault="001306CA" w:rsidP="00130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3"/>
          <w:szCs w:val="23"/>
        </w:rPr>
      </w:pPr>
    </w:p>
    <w:p w14:paraId="31EC4DBC" w14:textId="77777777" w:rsidR="001306CA" w:rsidRDefault="001306CA" w:rsidP="00130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3"/>
          <w:szCs w:val="23"/>
        </w:rPr>
      </w:pPr>
    </w:p>
    <w:p w14:paraId="516EEAC2" w14:textId="77777777" w:rsidR="001306CA" w:rsidRPr="00985ADD" w:rsidRDefault="001306CA" w:rsidP="001306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kern w:val="0"/>
          <w:sz w:val="20"/>
          <w:szCs w:val="20"/>
        </w:rPr>
      </w:pPr>
      <w:r w:rsidRPr="00985ADD">
        <w:rPr>
          <w:rFonts w:cs="Calibri"/>
          <w:b/>
          <w:bCs/>
          <w:color w:val="000000"/>
          <w:kern w:val="0"/>
          <w:sz w:val="20"/>
          <w:szCs w:val="20"/>
        </w:rPr>
        <w:t>BREAGE PARISH COUNCIL</w:t>
      </w:r>
    </w:p>
    <w:p w14:paraId="2730ED91" w14:textId="77777777" w:rsidR="001306CA" w:rsidRPr="00985ADD" w:rsidRDefault="001306CA" w:rsidP="001306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kern w:val="0"/>
          <w:sz w:val="20"/>
          <w:szCs w:val="20"/>
          <w:u w:val="single"/>
        </w:rPr>
      </w:pPr>
      <w:r w:rsidRPr="00985ADD">
        <w:rPr>
          <w:rFonts w:cs="Calibri"/>
          <w:b/>
          <w:bCs/>
          <w:color w:val="000000"/>
          <w:kern w:val="0"/>
          <w:sz w:val="20"/>
          <w:szCs w:val="20"/>
          <w:u w:val="single"/>
        </w:rPr>
        <w:t>NOTES PUBLIC PARTICIPATION PLANNING AND LAND USE MATTERS HELD IN THE PARISH ROOMS BREAGE</w:t>
      </w:r>
    </w:p>
    <w:p w14:paraId="1B16AC65" w14:textId="0E92E0AE" w:rsidR="001306CA" w:rsidRPr="00985ADD" w:rsidRDefault="001306CA" w:rsidP="001306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kern w:val="0"/>
          <w:sz w:val="20"/>
          <w:szCs w:val="20"/>
          <w:u w:val="single"/>
        </w:rPr>
      </w:pPr>
      <w:r w:rsidRPr="00985ADD">
        <w:rPr>
          <w:rFonts w:cs="Calibri"/>
          <w:b/>
          <w:bCs/>
          <w:color w:val="000000"/>
          <w:kern w:val="0"/>
          <w:sz w:val="20"/>
          <w:szCs w:val="20"/>
          <w:u w:val="single"/>
        </w:rPr>
        <w:t xml:space="preserve">ON WEDNESDAY </w:t>
      </w:r>
      <w:r>
        <w:rPr>
          <w:rFonts w:cs="Calibri"/>
          <w:b/>
          <w:bCs/>
          <w:color w:val="000000"/>
          <w:kern w:val="0"/>
          <w:sz w:val="20"/>
          <w:szCs w:val="20"/>
          <w:u w:val="single"/>
        </w:rPr>
        <w:t>30 JULY</w:t>
      </w:r>
      <w:r w:rsidRPr="00985ADD">
        <w:rPr>
          <w:rFonts w:cs="Calibri"/>
          <w:b/>
          <w:bCs/>
          <w:color w:val="000000"/>
          <w:kern w:val="0"/>
          <w:sz w:val="20"/>
          <w:szCs w:val="20"/>
          <w:u w:val="single"/>
        </w:rPr>
        <w:t xml:space="preserve"> 2025</w:t>
      </w:r>
    </w:p>
    <w:p w14:paraId="4FE05490" w14:textId="77777777" w:rsidR="001306CA" w:rsidRPr="00985ADD" w:rsidRDefault="001306CA" w:rsidP="001306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kern w:val="0"/>
          <w:sz w:val="20"/>
          <w:szCs w:val="20"/>
        </w:rPr>
      </w:pPr>
    </w:p>
    <w:p w14:paraId="6C190927" w14:textId="77777777" w:rsidR="001306CA" w:rsidRPr="00985ADD" w:rsidRDefault="001306CA" w:rsidP="001306CA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en-GB"/>
        </w:rPr>
      </w:pPr>
    </w:p>
    <w:p w14:paraId="17810C24" w14:textId="77777777" w:rsidR="001306CA" w:rsidRDefault="001306CA" w:rsidP="001306CA">
      <w:pPr>
        <w:rPr>
          <w:rFonts w:ascii="Calibri" w:hAnsi="Calibri" w:cs="Calibri"/>
          <w:b/>
          <w:bCs/>
          <w:kern w:val="0"/>
          <w:sz w:val="20"/>
          <w:szCs w:val="20"/>
        </w:rPr>
      </w:pPr>
      <w:r w:rsidRPr="00985ADD">
        <w:rPr>
          <w:sz w:val="20"/>
          <w:szCs w:val="20"/>
        </w:rPr>
        <w:t xml:space="preserve">2 members of the public attended to </w:t>
      </w:r>
      <w:r>
        <w:rPr>
          <w:sz w:val="20"/>
          <w:szCs w:val="20"/>
        </w:rPr>
        <w:t xml:space="preserve">speak to </w:t>
      </w:r>
      <w:r w:rsidRPr="00E57359">
        <w:rPr>
          <w:rFonts w:ascii="Calibri" w:hAnsi="Calibri" w:cs="Calibri"/>
          <w:b/>
          <w:bCs/>
          <w:kern w:val="0"/>
          <w:sz w:val="20"/>
          <w:szCs w:val="20"/>
        </w:rPr>
        <w:t>Application PA25/03982</w:t>
      </w:r>
    </w:p>
    <w:p w14:paraId="4CBB7501" w14:textId="77777777" w:rsidR="001306CA" w:rsidRDefault="001306CA" w:rsidP="001306CA">
      <w:pPr>
        <w:rPr>
          <w:rFonts w:ascii="Calibri" w:hAnsi="Calibri" w:cs="Calibri"/>
          <w:b/>
          <w:bCs/>
          <w:kern w:val="0"/>
          <w:sz w:val="20"/>
          <w:szCs w:val="20"/>
        </w:rPr>
      </w:pPr>
      <w:r>
        <w:rPr>
          <w:sz w:val="20"/>
          <w:szCs w:val="20"/>
        </w:rPr>
        <w:t xml:space="preserve">9 members of the public attended to speak to </w:t>
      </w:r>
      <w:r w:rsidRPr="00A70412">
        <w:rPr>
          <w:rFonts w:ascii="Calibri" w:hAnsi="Calibri" w:cs="Calibri"/>
          <w:b/>
          <w:bCs/>
          <w:kern w:val="0"/>
          <w:sz w:val="20"/>
          <w:szCs w:val="20"/>
        </w:rPr>
        <w:t>Application PA25/05137</w:t>
      </w:r>
    </w:p>
    <w:p w14:paraId="4E847C7B" w14:textId="77777777" w:rsidR="001306CA" w:rsidRDefault="001306CA" w:rsidP="001306CA">
      <w:pPr>
        <w:rPr>
          <w:rFonts w:ascii="Calibri" w:hAnsi="Calibri" w:cs="Calibri"/>
          <w:kern w:val="0"/>
          <w:sz w:val="20"/>
          <w:szCs w:val="20"/>
        </w:rPr>
      </w:pPr>
      <w:r w:rsidRPr="00AA6359">
        <w:rPr>
          <w:rFonts w:ascii="Calibri" w:hAnsi="Calibri" w:cs="Calibri"/>
          <w:kern w:val="0"/>
          <w:sz w:val="20"/>
          <w:szCs w:val="20"/>
        </w:rPr>
        <w:t>There was universal</w:t>
      </w:r>
      <w:r>
        <w:rPr>
          <w:rFonts w:ascii="Calibri" w:hAnsi="Calibri" w:cs="Calibri"/>
          <w:kern w:val="0"/>
          <w:sz w:val="20"/>
          <w:szCs w:val="20"/>
        </w:rPr>
        <w:t xml:space="preserve"> opposition to this proposal from all the residents present, who all spoke against this proposal. Key points noted:</w:t>
      </w:r>
    </w:p>
    <w:p w14:paraId="4BA861B6" w14:textId="77777777" w:rsidR="001306CA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Flooding of the road would be further exasperated by more development on the fields that act as a natural soak</w:t>
      </w:r>
    </w:p>
    <w:p w14:paraId="15B95398" w14:textId="77777777" w:rsidR="001306CA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Proposal would be reliant on users swinging around on a privately maintained road</w:t>
      </w:r>
    </w:p>
    <w:p w14:paraId="01C8A4D8" w14:textId="77777777" w:rsidR="001306CA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Over 50 houses had been built in Ashton over the last 5 years – how many rural exception sites do we need,</w:t>
      </w:r>
    </w:p>
    <w:p w14:paraId="0968B5E8" w14:textId="77777777" w:rsidR="001306CA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Justification based on previous applications, but if that is the case won’t we just be building forever.</w:t>
      </w:r>
    </w:p>
    <w:p w14:paraId="11174B0C" w14:textId="77777777" w:rsidR="001306CA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Poor access facilities and transportation. </w:t>
      </w:r>
    </w:p>
    <w:p w14:paraId="45A6B396" w14:textId="77777777" w:rsidR="001306CA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Application states drainage to be dealt with in the future but the issue is real and now.</w:t>
      </w:r>
    </w:p>
    <w:p w14:paraId="274460D7" w14:textId="77777777" w:rsidR="001306CA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Traffic already queues to main road, noting a single-track road, further traffic will just make matters worse and more dangerous.</w:t>
      </w:r>
    </w:p>
    <w:p w14:paraId="0543E416" w14:textId="77777777" w:rsidR="001306CA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The application site is incorrectly stated as about 100 meters from Fore Street it is in fact 186meters.</w:t>
      </w:r>
    </w:p>
    <w:p w14:paraId="1891DA84" w14:textId="77777777" w:rsidR="001306CA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Hendra Lane is not a </w:t>
      </w:r>
      <w:proofErr w:type="gramStart"/>
      <w:r>
        <w:rPr>
          <w:sz w:val="20"/>
          <w:szCs w:val="20"/>
        </w:rPr>
        <w:t>cul-de-sac,</w:t>
      </w:r>
      <w:proofErr w:type="gramEnd"/>
      <w:r>
        <w:rPr>
          <w:sz w:val="20"/>
          <w:szCs w:val="20"/>
        </w:rPr>
        <w:t xml:space="preserve"> it is an unmaintained lane.</w:t>
      </w:r>
    </w:p>
    <w:p w14:paraId="2E78A81C" w14:textId="77777777" w:rsidR="001306CA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 only passing point from the main road to proposed development would be Hendra Close gateway, which is privately owned and maintained by residents. Equally, it is not identified as a public right of way. </w:t>
      </w:r>
    </w:p>
    <w:p w14:paraId="65D60FD0" w14:textId="77777777" w:rsidR="001306CA" w:rsidRPr="000F4EDD" w:rsidRDefault="001306CA" w:rsidP="001306CA">
      <w:pPr>
        <w:pStyle w:val="ListParagraph"/>
        <w:numPr>
          <w:ilvl w:val="0"/>
          <w:numId w:val="1"/>
        </w:num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There is no mains sewage – all properties being on some form of septic tank sludge removal and soakaway system, which aligned with dwellings prior to the </w:t>
      </w:r>
      <w:proofErr w:type="gramStart"/>
      <w:r>
        <w:rPr>
          <w:sz w:val="20"/>
          <w:szCs w:val="20"/>
        </w:rPr>
        <w:t>large scale</w:t>
      </w:r>
      <w:proofErr w:type="gramEnd"/>
      <w:r>
        <w:rPr>
          <w:sz w:val="20"/>
          <w:szCs w:val="20"/>
        </w:rPr>
        <w:t xml:space="preserve"> recent developments. SWW have indicated they are struggling to manage demand regionally given the volume of homes being developed not on mains sewage.  </w:t>
      </w:r>
    </w:p>
    <w:p w14:paraId="60299001" w14:textId="77777777" w:rsidR="001306CA" w:rsidRDefault="001306CA" w:rsidP="001306CA"/>
    <w:p w14:paraId="011B87B9" w14:textId="77777777" w:rsidR="00E861EA" w:rsidRDefault="00E861EA"/>
    <w:sectPr w:rsidR="00E861EA" w:rsidSect="001306CA">
      <w:headerReference w:type="default" r:id="rId5"/>
      <w:footerReference w:type="default" r:id="rId6"/>
      <w:pgSz w:w="11906" w:h="16838"/>
      <w:pgMar w:top="567" w:right="567" w:bottom="567" w:left="567" w:header="708" w:footer="708" w:gutter="0"/>
      <w:pgNumType w:start="5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EDEA" w14:textId="77777777" w:rsidR="001306CA" w:rsidRDefault="001306CA" w:rsidP="004C2CE0">
    <w:pPr>
      <w:pStyle w:val="Footer"/>
      <w:jc w:val="right"/>
    </w:pPr>
    <w:r>
      <w:t>2025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2"/>
      <w:gridCol w:w="3591"/>
      <w:gridCol w:w="3589"/>
    </w:tblGrid>
    <w:tr w:rsidR="001306CA" w14:paraId="61EA0D18" w14:textId="77777777">
      <w:trPr>
        <w:trHeight w:val="720"/>
      </w:trPr>
      <w:tc>
        <w:tcPr>
          <w:tcW w:w="1667" w:type="pct"/>
        </w:tcPr>
        <w:p w14:paraId="3586505A" w14:textId="77777777" w:rsidR="001306CA" w:rsidRDefault="001306CA">
          <w:pPr>
            <w:pStyle w:val="Header"/>
            <w:rPr>
              <w:color w:val="156082" w:themeColor="accent1"/>
            </w:rPr>
          </w:pPr>
        </w:p>
      </w:tc>
      <w:tc>
        <w:tcPr>
          <w:tcW w:w="1667" w:type="pct"/>
        </w:tcPr>
        <w:p w14:paraId="7CC56C4D" w14:textId="77777777" w:rsidR="001306CA" w:rsidRDefault="001306CA">
          <w:pPr>
            <w:pStyle w:val="Header"/>
            <w:jc w:val="center"/>
            <w:rPr>
              <w:color w:val="156082" w:themeColor="accent1"/>
            </w:rPr>
          </w:pPr>
        </w:p>
      </w:tc>
      <w:tc>
        <w:tcPr>
          <w:tcW w:w="1666" w:type="pct"/>
        </w:tcPr>
        <w:p w14:paraId="3CD8BD7C" w14:textId="77777777" w:rsidR="001306CA" w:rsidRDefault="001306CA">
          <w:pPr>
            <w:pStyle w:val="Header"/>
            <w:jc w:val="right"/>
            <w:rPr>
              <w:color w:val="156082" w:themeColor="accent1"/>
            </w:rPr>
          </w:pPr>
          <w:r>
            <w:rPr>
              <w:color w:val="156082" w:themeColor="accent1"/>
              <w:sz w:val="24"/>
              <w:szCs w:val="24"/>
            </w:rPr>
            <w:fldChar w:fldCharType="begin"/>
          </w:r>
          <w:r>
            <w:rPr>
              <w:color w:val="156082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156082" w:themeColor="accent1"/>
              <w:sz w:val="24"/>
              <w:szCs w:val="24"/>
            </w:rPr>
            <w:fldChar w:fldCharType="separate"/>
          </w:r>
          <w:r>
            <w:rPr>
              <w:noProof/>
              <w:color w:val="156082" w:themeColor="accent1"/>
              <w:sz w:val="24"/>
              <w:szCs w:val="24"/>
            </w:rPr>
            <w:t>0</w:t>
          </w:r>
          <w:r>
            <w:rPr>
              <w:color w:val="156082" w:themeColor="accent1"/>
              <w:sz w:val="24"/>
              <w:szCs w:val="24"/>
            </w:rPr>
            <w:fldChar w:fldCharType="end"/>
          </w:r>
        </w:p>
      </w:tc>
    </w:tr>
  </w:tbl>
  <w:p w14:paraId="6B0543C2" w14:textId="77777777" w:rsidR="001306CA" w:rsidRDefault="00130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F2B"/>
    <w:multiLevelType w:val="hybridMultilevel"/>
    <w:tmpl w:val="F6D0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3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CA"/>
    <w:rsid w:val="001306CA"/>
    <w:rsid w:val="00C50A5D"/>
    <w:rsid w:val="00E8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03AD"/>
  <w15:chartTrackingRefBased/>
  <w15:docId w15:val="{30B13FED-589D-4BBA-A5F1-0BCB8B23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CA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0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6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6CA"/>
  </w:style>
  <w:style w:type="paragraph" w:styleId="Footer">
    <w:name w:val="footer"/>
    <w:basedOn w:val="Normal"/>
    <w:link w:val="FooterChar"/>
    <w:uiPriority w:val="99"/>
    <w:unhideWhenUsed/>
    <w:rsid w:val="0013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2FC7FAE64F342AF0C2E357EB29D2B" ma:contentTypeVersion="13" ma:contentTypeDescription="Create a new document." ma:contentTypeScope="" ma:versionID="2cefacecbc049e7e61eae9165ddb8c92">
  <xsd:schema xmlns:xsd="http://www.w3.org/2001/XMLSchema" xmlns:xs="http://www.w3.org/2001/XMLSchema" xmlns:p="http://schemas.microsoft.com/office/2006/metadata/properties" xmlns:ns2="e113abc0-4d8d-4a5f-9a4c-97ac9a3fe7b0" xmlns:ns3="6ef850bb-66e0-4ce8-8c0f-1727c9746996" targetNamespace="http://schemas.microsoft.com/office/2006/metadata/properties" ma:root="true" ma:fieldsID="ba2a8c58c324c4c3bf8503a8c2403243" ns2:_="" ns3:_="">
    <xsd:import namespace="e113abc0-4d8d-4a5f-9a4c-97ac9a3fe7b0"/>
    <xsd:import namespace="6ef850bb-66e0-4ce8-8c0f-1727c974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abc0-4d8d-4a5f-9a4c-97ac9a3fe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96ef42-934f-4216-9c64-9022ba0a5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50bb-66e0-4ce8-8c0f-1727c97469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173af7-81a0-4eff-a463-8df0240f0906}" ma:internalName="TaxCatchAll" ma:showField="CatchAllData" ma:web="6ef850bb-66e0-4ce8-8c0f-1727c974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abc0-4d8d-4a5f-9a4c-97ac9a3fe7b0">
      <Terms xmlns="http://schemas.microsoft.com/office/infopath/2007/PartnerControls"/>
    </lcf76f155ced4ddcb4097134ff3c332f>
    <TaxCatchAll xmlns="6ef850bb-66e0-4ce8-8c0f-1727c9746996" xsi:nil="true"/>
  </documentManagement>
</p:properties>
</file>

<file path=customXml/itemProps1.xml><?xml version="1.0" encoding="utf-8"?>
<ds:datastoreItem xmlns:ds="http://schemas.openxmlformats.org/officeDocument/2006/customXml" ds:itemID="{207EF705-35EF-49A0-A09D-6A1D61452B0E}"/>
</file>

<file path=customXml/itemProps2.xml><?xml version="1.0" encoding="utf-8"?>
<ds:datastoreItem xmlns:ds="http://schemas.openxmlformats.org/officeDocument/2006/customXml" ds:itemID="{6EBAC4A7-3D11-493F-978F-630943B88668}"/>
</file>

<file path=customXml/itemProps3.xml><?xml version="1.0" encoding="utf-8"?>
<ds:datastoreItem xmlns:ds="http://schemas.openxmlformats.org/officeDocument/2006/customXml" ds:itemID="{E46214B7-31BF-432D-8753-2A859F2CD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2025-08-04T08:11:00Z</dcterms:created>
  <dcterms:modified xsi:type="dcterms:W3CDTF">2025-08-04T08:12:00Z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0x0101001742FC7FAE64F342AF0C2E357EB29D2B</vt:lpwstr>
  </property>
</Properties>
</file>